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69F6" w14:textId="27115E83" w:rsidR="002904AC" w:rsidRPr="002904AC" w:rsidRDefault="002904AC" w:rsidP="002904AC">
      <w:pPr>
        <w:rPr>
          <w:b/>
          <w:bCs/>
          <w:sz w:val="40"/>
          <w:szCs w:val="40"/>
          <w:rtl/>
        </w:rPr>
      </w:pPr>
      <w:r w:rsidRPr="002904AC">
        <w:rPr>
          <w:b/>
          <w:bCs/>
          <w:sz w:val="40"/>
          <w:szCs w:val="40"/>
          <w:rtl/>
        </w:rPr>
        <w:br/>
      </w:r>
      <w:r w:rsidRPr="002904AC">
        <w:rPr>
          <w:rFonts w:hint="cs"/>
          <w:b/>
          <w:bCs/>
          <w:sz w:val="40"/>
          <w:szCs w:val="40"/>
          <w:rtl/>
        </w:rPr>
        <w:t>تعميم الهيئة ل</w:t>
      </w:r>
      <w:r w:rsidRPr="002904AC">
        <w:rPr>
          <w:b/>
          <w:bCs/>
          <w:sz w:val="40"/>
          <w:szCs w:val="40"/>
          <w:rtl/>
        </w:rPr>
        <w:t xml:space="preserve">شركات الخدمات المالية المرخصة للتعامل في البورصات الأجنبية </w:t>
      </w:r>
      <w:r w:rsidRPr="002904AC">
        <w:rPr>
          <w:rFonts w:hint="cs"/>
          <w:b/>
          <w:bCs/>
          <w:sz w:val="40"/>
          <w:szCs w:val="40"/>
          <w:rtl/>
        </w:rPr>
        <w:t>بال</w:t>
      </w:r>
      <w:r w:rsidRPr="002904AC">
        <w:rPr>
          <w:b/>
          <w:bCs/>
          <w:sz w:val="40"/>
          <w:szCs w:val="40"/>
          <w:rtl/>
        </w:rPr>
        <w:t xml:space="preserve">قرار </w:t>
      </w:r>
      <w:r w:rsidRPr="002904AC">
        <w:rPr>
          <w:rFonts w:hint="cs"/>
          <w:b/>
          <w:bCs/>
          <w:sz w:val="40"/>
          <w:szCs w:val="40"/>
          <w:rtl/>
        </w:rPr>
        <w:t>ال</w:t>
      </w:r>
      <w:r w:rsidRPr="002904AC">
        <w:rPr>
          <w:b/>
          <w:bCs/>
          <w:sz w:val="40"/>
          <w:szCs w:val="40"/>
          <w:rtl/>
        </w:rPr>
        <w:t xml:space="preserve">تنظيمي بحظر التعامل بالعملات الرقمية </w:t>
      </w:r>
      <w:r w:rsidRPr="002904AC">
        <w:rPr>
          <w:rFonts w:hint="cs"/>
          <w:b/>
          <w:bCs/>
          <w:sz w:val="40"/>
          <w:szCs w:val="40"/>
          <w:rtl/>
        </w:rPr>
        <w:t>لسنة 2021</w:t>
      </w:r>
    </w:p>
    <w:p w14:paraId="6063869A" w14:textId="77777777" w:rsidR="002904AC" w:rsidRPr="002904AC" w:rsidRDefault="002904AC" w:rsidP="002904AC">
      <w:pPr>
        <w:rPr>
          <w:sz w:val="40"/>
          <w:szCs w:val="40"/>
          <w:rtl/>
        </w:rPr>
      </w:pPr>
    </w:p>
    <w:p w14:paraId="213CF289" w14:textId="7B11B5A6" w:rsidR="002904AC" w:rsidRPr="002904AC" w:rsidRDefault="002904AC" w:rsidP="002904AC">
      <w:pPr>
        <w:rPr>
          <w:sz w:val="40"/>
          <w:szCs w:val="40"/>
          <w:rtl/>
        </w:rPr>
      </w:pPr>
      <w:r w:rsidRPr="002904AC">
        <w:rPr>
          <w:sz w:val="40"/>
          <w:szCs w:val="40"/>
          <w:rtl/>
        </w:rPr>
        <w:t xml:space="preserve">إشارة إلى توصية مجموعة العمل المالي </w:t>
      </w:r>
      <w:r w:rsidRPr="002904AC">
        <w:rPr>
          <w:sz w:val="40"/>
          <w:szCs w:val="40"/>
        </w:rPr>
        <w:t>FATF</w:t>
      </w:r>
      <w:r w:rsidRPr="002904AC">
        <w:rPr>
          <w:sz w:val="40"/>
          <w:szCs w:val="40"/>
          <w:rtl/>
        </w:rPr>
        <w:t xml:space="preserve"> رقم (</w:t>
      </w:r>
      <w:r w:rsidRPr="002904AC">
        <w:rPr>
          <w:sz w:val="40"/>
          <w:szCs w:val="40"/>
          <w:rtl/>
          <w:lang w:bidi="fa-IR"/>
        </w:rPr>
        <w:t>۱</w:t>
      </w:r>
      <w:r w:rsidRPr="002904AC">
        <w:rPr>
          <w:sz w:val="40"/>
          <w:szCs w:val="40"/>
          <w:rtl/>
        </w:rPr>
        <w:t>٥) والمتعلقة بالأصول الافتراضية، والتي عرفتها المجموعة على النحو ال</w:t>
      </w:r>
      <w:r>
        <w:rPr>
          <w:rFonts w:hint="cs"/>
          <w:sz w:val="40"/>
          <w:szCs w:val="40"/>
          <w:rtl/>
        </w:rPr>
        <w:t>آ</w:t>
      </w:r>
      <w:r w:rsidRPr="002904AC">
        <w:rPr>
          <w:sz w:val="40"/>
          <w:szCs w:val="40"/>
          <w:rtl/>
        </w:rPr>
        <w:t>تي:</w:t>
      </w:r>
    </w:p>
    <w:p w14:paraId="3A314876" w14:textId="52EA89BB" w:rsidR="002904AC" w:rsidRPr="002904AC" w:rsidRDefault="002904AC" w:rsidP="002904AC">
      <w:pPr>
        <w:rPr>
          <w:sz w:val="40"/>
          <w:szCs w:val="40"/>
          <w:rtl/>
        </w:rPr>
      </w:pPr>
      <w:r>
        <w:rPr>
          <w:rFonts w:hint="cs"/>
          <w:sz w:val="40"/>
          <w:szCs w:val="40"/>
          <w:rtl/>
        </w:rPr>
        <w:t xml:space="preserve">” </w:t>
      </w:r>
      <w:r w:rsidRPr="002904AC">
        <w:rPr>
          <w:sz w:val="40"/>
          <w:szCs w:val="40"/>
          <w:rtl/>
        </w:rPr>
        <w:t>تعد الأصول الافتراضية تمثيلا رقميا للقيمة التي يمكن تداولها رقميا أو تحويلها، ويمكن استخدامها لأغراض الدفع أو الاستثمار. ولا يشمل ذلك عمليات التمثيل الرقمي للعملات الورقية والأوراق المالية".</w:t>
      </w:r>
    </w:p>
    <w:p w14:paraId="0FB5B6C7" w14:textId="272F2A29" w:rsidR="002904AC" w:rsidRPr="002904AC" w:rsidRDefault="002904AC" w:rsidP="002904AC">
      <w:pPr>
        <w:rPr>
          <w:sz w:val="40"/>
          <w:szCs w:val="40"/>
          <w:rtl/>
        </w:rPr>
      </w:pPr>
      <w:r w:rsidRPr="002904AC">
        <w:rPr>
          <w:sz w:val="40"/>
          <w:szCs w:val="40"/>
          <w:rtl/>
        </w:rPr>
        <w:t>واستناداً لأحكام المادة (</w:t>
      </w:r>
      <w:r w:rsidRPr="002904AC">
        <w:rPr>
          <w:sz w:val="40"/>
          <w:szCs w:val="40"/>
          <w:rtl/>
          <w:lang w:bidi="fa-IR"/>
        </w:rPr>
        <w:t xml:space="preserve">۱۲) </w:t>
      </w:r>
      <w:r w:rsidRPr="002904AC">
        <w:rPr>
          <w:sz w:val="40"/>
          <w:szCs w:val="40"/>
          <w:rtl/>
        </w:rPr>
        <w:t xml:space="preserve">من قانون الأوراق المالية رقم ( </w:t>
      </w:r>
      <w:r w:rsidRPr="002904AC">
        <w:rPr>
          <w:sz w:val="40"/>
          <w:szCs w:val="40"/>
          <w:rtl/>
          <w:lang w:bidi="fa-IR"/>
        </w:rPr>
        <w:t xml:space="preserve">۱۸) </w:t>
      </w:r>
      <w:r w:rsidRPr="002904AC">
        <w:rPr>
          <w:sz w:val="40"/>
          <w:szCs w:val="40"/>
          <w:rtl/>
        </w:rPr>
        <w:t xml:space="preserve">لسنة </w:t>
      </w:r>
      <w:r w:rsidRPr="002904AC">
        <w:rPr>
          <w:sz w:val="40"/>
          <w:szCs w:val="40"/>
          <w:rtl/>
          <w:lang w:bidi="fa-IR"/>
        </w:rPr>
        <w:t xml:space="preserve">۲۰۱۷ . </w:t>
      </w:r>
      <w:r w:rsidRPr="002904AC">
        <w:rPr>
          <w:sz w:val="40"/>
          <w:szCs w:val="40"/>
          <w:rtl/>
        </w:rPr>
        <w:t>وأحكام المادة (٥) من قانون تنظيم التعامل بالبورصات الأجنبية رقم (</w:t>
      </w:r>
      <w:r w:rsidRPr="002904AC">
        <w:rPr>
          <w:sz w:val="40"/>
          <w:szCs w:val="40"/>
          <w:rtl/>
          <w:lang w:bidi="fa-IR"/>
        </w:rPr>
        <w:t xml:space="preserve">۱) </w:t>
      </w:r>
      <w:r w:rsidRPr="002904AC">
        <w:rPr>
          <w:sz w:val="40"/>
          <w:szCs w:val="40"/>
          <w:rtl/>
        </w:rPr>
        <w:t>لسنة ٢٠١٧ ، قرر مجلس المفوضين بموجب قراره رقم (</w:t>
      </w:r>
      <w:r w:rsidRPr="002904AC">
        <w:rPr>
          <w:sz w:val="40"/>
          <w:szCs w:val="40"/>
          <w:rtl/>
          <w:lang w:bidi="fa-IR"/>
        </w:rPr>
        <w:t xml:space="preserve">۲۰۲۱/۲۰۷) </w:t>
      </w:r>
      <w:r w:rsidRPr="002904AC">
        <w:rPr>
          <w:sz w:val="40"/>
          <w:szCs w:val="40"/>
          <w:rtl/>
        </w:rPr>
        <w:t xml:space="preserve">تاريخ </w:t>
      </w:r>
      <w:r w:rsidRPr="002904AC">
        <w:rPr>
          <w:sz w:val="40"/>
          <w:szCs w:val="40"/>
          <w:rtl/>
          <w:lang w:bidi="fa-IR"/>
        </w:rPr>
        <w:t>۲۰۲۱/۱۱/۱۱</w:t>
      </w:r>
      <w:r w:rsidRPr="002904AC">
        <w:rPr>
          <w:sz w:val="40"/>
          <w:szCs w:val="40"/>
          <w:rtl/>
        </w:rPr>
        <w:t xml:space="preserve"> إصدار القرار التنظيمي التالي المتعلق بشركات الخدمات المالية المرخصة من قبل الهيئة للتعامل في البورصات الأجنبية:-</w:t>
      </w:r>
    </w:p>
    <w:p w14:paraId="13446D22" w14:textId="51812932" w:rsidR="002904AC" w:rsidRPr="002904AC" w:rsidRDefault="002904AC" w:rsidP="002904AC">
      <w:pPr>
        <w:rPr>
          <w:sz w:val="40"/>
          <w:szCs w:val="40"/>
          <w:rtl/>
        </w:rPr>
      </w:pPr>
      <w:r w:rsidRPr="002904AC">
        <w:rPr>
          <w:sz w:val="40"/>
          <w:szCs w:val="40"/>
          <w:rtl/>
        </w:rPr>
        <w:t>أولاً: حظر التعامل بالعملات الرقمية وذلك استناداً إلى أحكام المادة (</w:t>
      </w:r>
      <w:r>
        <w:rPr>
          <w:rFonts w:hint="cs"/>
          <w:sz w:val="40"/>
          <w:szCs w:val="40"/>
          <w:rtl/>
          <w:lang w:bidi="fa-IR"/>
        </w:rPr>
        <w:t>10/أ.12</w:t>
      </w:r>
      <w:r w:rsidRPr="002904AC">
        <w:rPr>
          <w:sz w:val="40"/>
          <w:szCs w:val="40"/>
          <w:rtl/>
          <w:lang w:bidi="fa-IR"/>
        </w:rPr>
        <w:t xml:space="preserve">) </w:t>
      </w:r>
      <w:r w:rsidRPr="002904AC">
        <w:rPr>
          <w:sz w:val="40"/>
          <w:szCs w:val="40"/>
          <w:rtl/>
        </w:rPr>
        <w:t>من تعليمات تنظيم التعامل بالبورصات الأجنبية، والتي تنص على " أ - يحظر على المرخص له القيام بما يلي:- ١٢- التعامل لصالحه أو لصالح عملائه بالعملات الرقمية أو أي عملات أخرى محظورة من قبل الجهات</w:t>
      </w:r>
      <w:r>
        <w:rPr>
          <w:rFonts w:hint="cs"/>
          <w:sz w:val="40"/>
          <w:szCs w:val="40"/>
          <w:rtl/>
        </w:rPr>
        <w:t xml:space="preserve"> </w:t>
      </w:r>
      <w:r w:rsidRPr="002904AC">
        <w:rPr>
          <w:sz w:val="40"/>
          <w:szCs w:val="40"/>
          <w:rtl/>
        </w:rPr>
        <w:t>المختصة".</w:t>
      </w:r>
    </w:p>
    <w:p w14:paraId="678B1CE5" w14:textId="77777777" w:rsidR="002904AC" w:rsidRDefault="002904AC" w:rsidP="002904AC">
      <w:pPr>
        <w:rPr>
          <w:sz w:val="40"/>
          <w:szCs w:val="40"/>
          <w:rtl/>
        </w:rPr>
      </w:pPr>
      <w:r w:rsidRPr="002904AC">
        <w:rPr>
          <w:sz w:val="40"/>
          <w:szCs w:val="40"/>
          <w:rtl/>
        </w:rPr>
        <w:t xml:space="preserve">ولغايات هذا القرار يعتمد مفهوم التعامل وفقاً لتعليمات تنظيم التعامل بالبورصات الأجنبية، والذي يشمل : الشراء أو البيع لصالح المرخص له أو التوسط لصالح الغير أو إدارة الاستثمار أو أمانة الاستثمار أو تقديم الاستشارات المالية في الأوراق المالية على اختلاف أنواعها أو العملات </w:t>
      </w:r>
      <w:r w:rsidRPr="002904AC">
        <w:rPr>
          <w:sz w:val="40"/>
          <w:szCs w:val="40"/>
          <w:rtl/>
        </w:rPr>
        <w:lastRenderedPageBreak/>
        <w:t>الأجنبية أو المعادن الثمينة أو أي سلع أو أدوات مالية أخرى في البورصات الأجنبية."</w:t>
      </w:r>
      <w:r>
        <w:rPr>
          <w:rFonts w:hint="cs"/>
          <w:sz w:val="40"/>
          <w:szCs w:val="40"/>
          <w:rtl/>
        </w:rPr>
        <w:t xml:space="preserve"> </w:t>
      </w:r>
    </w:p>
    <w:p w14:paraId="713F1E1F" w14:textId="63163F66" w:rsidR="002904AC" w:rsidRPr="002904AC" w:rsidRDefault="002904AC" w:rsidP="002904AC">
      <w:pPr>
        <w:rPr>
          <w:sz w:val="40"/>
          <w:szCs w:val="40"/>
          <w:rtl/>
        </w:rPr>
      </w:pPr>
      <w:r w:rsidRPr="002904AC">
        <w:rPr>
          <w:sz w:val="40"/>
          <w:szCs w:val="40"/>
          <w:rtl/>
        </w:rPr>
        <w:t>علماً بان العملات الرقمية هي عبارة عن عملة افتراضية يتم تشفيرها لغرض التعامل الأمن والسري والتي يتم إنشائها وتخزينها إلكترونيًا دون وجود سلطة إشرافية عليها أو بنك مركزي يتحكم فيها، ولا يوجد</w:t>
      </w:r>
      <w:r>
        <w:rPr>
          <w:rFonts w:hint="cs"/>
          <w:sz w:val="40"/>
          <w:szCs w:val="40"/>
          <w:rtl/>
        </w:rPr>
        <w:t xml:space="preserve"> </w:t>
      </w:r>
      <w:r w:rsidRPr="002904AC">
        <w:rPr>
          <w:sz w:val="40"/>
          <w:szCs w:val="40"/>
          <w:rtl/>
        </w:rPr>
        <w:t xml:space="preserve">لها كيان فيزيائي ملموس مثل العملات الاعتيادية الأخرى ويتم تداولها أو تحويلها أو استخدامها لأغراض الدفع أو الاستثمار مثل </w:t>
      </w:r>
      <w:r w:rsidRPr="002904AC">
        <w:rPr>
          <w:sz w:val="40"/>
          <w:szCs w:val="40"/>
        </w:rPr>
        <w:t>Bitcoin, Ripple, Ethereum</w:t>
      </w:r>
      <w:r w:rsidRPr="002904AC">
        <w:rPr>
          <w:sz w:val="40"/>
          <w:szCs w:val="40"/>
          <w:rtl/>
        </w:rPr>
        <w:t xml:space="preserve"> وغيرها).</w:t>
      </w:r>
    </w:p>
    <w:p w14:paraId="734A3687" w14:textId="72AD6371" w:rsidR="002904AC" w:rsidRPr="002904AC" w:rsidRDefault="002904AC" w:rsidP="002904AC">
      <w:pPr>
        <w:rPr>
          <w:sz w:val="40"/>
          <w:szCs w:val="40"/>
          <w:rtl/>
        </w:rPr>
      </w:pPr>
      <w:r w:rsidRPr="002904AC">
        <w:rPr>
          <w:sz w:val="40"/>
          <w:szCs w:val="40"/>
          <w:rtl/>
        </w:rPr>
        <w:t>ثانياً: حظر استخدام العملات الرقمية كوسيلة للدفع أو الاستثمار، وذلك التزاماً بأحكام المادة (</w:t>
      </w:r>
      <w:r>
        <w:rPr>
          <w:rFonts w:hint="cs"/>
          <w:sz w:val="40"/>
          <w:szCs w:val="40"/>
          <w:rtl/>
        </w:rPr>
        <w:t>10/أ.11</w:t>
      </w:r>
      <w:r w:rsidRPr="002904AC">
        <w:rPr>
          <w:sz w:val="40"/>
          <w:szCs w:val="40"/>
          <w:rtl/>
        </w:rPr>
        <w:t xml:space="preserve">) من تعليمات تنظيم التعامل بالبورصات الأجنبية والتي حصرت عمليات الدفع من خلال استخدام الشيكات أو الحوالات أو أي وسيلة دفع إلكتروني أخرى وللمستفيد الأول فقط، وكذلك انسجاماً مع تعميم البنك المركزي الأردني رقم </w:t>
      </w:r>
      <w:r w:rsidRPr="002904AC">
        <w:rPr>
          <w:sz w:val="40"/>
          <w:szCs w:val="40"/>
          <w:rtl/>
          <w:lang w:bidi="fa-IR"/>
        </w:rPr>
        <w:t>۲</w:t>
      </w:r>
      <w:r w:rsidRPr="002904AC">
        <w:rPr>
          <w:sz w:val="40"/>
          <w:szCs w:val="40"/>
          <w:rtl/>
        </w:rPr>
        <w:t xml:space="preserve">٤٥/٥/١/١ تاريخ </w:t>
      </w:r>
      <w:r w:rsidRPr="002904AC">
        <w:rPr>
          <w:sz w:val="40"/>
          <w:szCs w:val="40"/>
          <w:rtl/>
          <w:lang w:bidi="fa-IR"/>
        </w:rPr>
        <w:t>۲۰۱</w:t>
      </w:r>
      <w:r w:rsidRPr="002904AC">
        <w:rPr>
          <w:sz w:val="40"/>
          <w:szCs w:val="40"/>
          <w:rtl/>
        </w:rPr>
        <w:t>٤/</w:t>
      </w:r>
      <w:r w:rsidRPr="002904AC">
        <w:rPr>
          <w:sz w:val="40"/>
          <w:szCs w:val="40"/>
          <w:rtl/>
          <w:lang w:bidi="fa-IR"/>
        </w:rPr>
        <w:t>۲/۲۰</w:t>
      </w:r>
      <w:r w:rsidRPr="002904AC">
        <w:rPr>
          <w:sz w:val="40"/>
          <w:szCs w:val="40"/>
          <w:rtl/>
        </w:rPr>
        <w:t xml:space="preserve"> والمؤكد عليه بموجب تعميم البنك المركزي الأردني رقم </w:t>
      </w:r>
      <w:r w:rsidRPr="002904AC">
        <w:rPr>
          <w:sz w:val="40"/>
          <w:szCs w:val="40"/>
          <w:rtl/>
          <w:lang w:bidi="fa-IR"/>
        </w:rPr>
        <w:t>۳۷۷۷/۳/۱۰</w:t>
      </w:r>
      <w:r w:rsidRPr="002904AC">
        <w:rPr>
          <w:sz w:val="40"/>
          <w:szCs w:val="40"/>
          <w:rtl/>
        </w:rPr>
        <w:t xml:space="preserve"> تاريخ </w:t>
      </w:r>
      <w:r w:rsidRPr="002904AC">
        <w:rPr>
          <w:sz w:val="40"/>
          <w:szCs w:val="40"/>
          <w:rtl/>
          <w:lang w:bidi="fa-IR"/>
        </w:rPr>
        <w:t>۲۰۱۸/۳/۱</w:t>
      </w:r>
      <w:r w:rsidRPr="002904AC">
        <w:rPr>
          <w:sz w:val="40"/>
          <w:szCs w:val="40"/>
          <w:rtl/>
        </w:rPr>
        <w:t>٤ والموجه إلى كافة البنوك المرخصة والشركات المالية وشركات الصرافة وشركات بطاقات الدفع، بحظر التعامل بالعملات الرقمية بأي شكل من الأشكال أو تبديلها مقابل أي عملة أخرى أو فتح حسابات للعملاء للتعامل بها أو إرسال أو استقبال حوالات</w:t>
      </w:r>
      <w:r>
        <w:rPr>
          <w:rFonts w:hint="cs"/>
          <w:sz w:val="40"/>
          <w:szCs w:val="40"/>
          <w:rtl/>
        </w:rPr>
        <w:t xml:space="preserve"> </w:t>
      </w:r>
      <w:r w:rsidRPr="002904AC">
        <w:rPr>
          <w:sz w:val="40"/>
          <w:szCs w:val="40"/>
          <w:rtl/>
        </w:rPr>
        <w:t>مقابلها أو بغرض شراءها أو بيعها.</w:t>
      </w:r>
    </w:p>
    <w:p w14:paraId="011AD62D" w14:textId="00CCD1A7" w:rsidR="002904AC" w:rsidRPr="002904AC" w:rsidRDefault="002904AC" w:rsidP="002904AC">
      <w:pPr>
        <w:rPr>
          <w:sz w:val="40"/>
          <w:szCs w:val="40"/>
          <w:rtl/>
        </w:rPr>
      </w:pPr>
      <w:r w:rsidRPr="002904AC">
        <w:rPr>
          <w:sz w:val="40"/>
          <w:szCs w:val="40"/>
          <w:rtl/>
        </w:rPr>
        <w:t>ثالثاً: الالتزام بما ورد في البنود المشار إليها أعلاه تحت طائلة اتخاذ التدابير القانونية الواردة في أحكام المادة (</w:t>
      </w:r>
      <w:r w:rsidRPr="002904AC">
        <w:rPr>
          <w:sz w:val="40"/>
          <w:szCs w:val="40"/>
          <w:rtl/>
          <w:lang w:bidi="fa-IR"/>
        </w:rPr>
        <w:t>۲۱/</w:t>
      </w:r>
      <w:r w:rsidRPr="002904AC">
        <w:rPr>
          <w:sz w:val="40"/>
          <w:szCs w:val="40"/>
          <w:rtl/>
        </w:rPr>
        <w:t>د) من قانون الأوراق المالية رقم (</w:t>
      </w:r>
      <w:r w:rsidRPr="002904AC">
        <w:rPr>
          <w:sz w:val="40"/>
          <w:szCs w:val="40"/>
          <w:rtl/>
          <w:lang w:bidi="fa-IR"/>
        </w:rPr>
        <w:t xml:space="preserve">۱۸) </w:t>
      </w:r>
      <w:r w:rsidRPr="002904AC">
        <w:rPr>
          <w:sz w:val="40"/>
          <w:szCs w:val="40"/>
          <w:rtl/>
        </w:rPr>
        <w:t xml:space="preserve">لسنة </w:t>
      </w:r>
      <w:r w:rsidRPr="002904AC">
        <w:rPr>
          <w:sz w:val="40"/>
          <w:szCs w:val="40"/>
          <w:rtl/>
          <w:lang w:bidi="fa-IR"/>
        </w:rPr>
        <w:t>۲۰۱۷</w:t>
      </w:r>
      <w:r w:rsidRPr="002904AC">
        <w:rPr>
          <w:sz w:val="40"/>
          <w:szCs w:val="40"/>
          <w:rtl/>
        </w:rPr>
        <w:t xml:space="preserve"> والتي من ضمنها:-</w:t>
      </w:r>
    </w:p>
    <w:p w14:paraId="7D973D02" w14:textId="36A96693" w:rsidR="002904AC" w:rsidRPr="002904AC" w:rsidRDefault="002904AC" w:rsidP="002904AC">
      <w:pPr>
        <w:rPr>
          <w:sz w:val="40"/>
          <w:szCs w:val="40"/>
          <w:rtl/>
        </w:rPr>
      </w:pPr>
      <w:r>
        <w:rPr>
          <w:rFonts w:hint="cs"/>
          <w:sz w:val="40"/>
          <w:szCs w:val="40"/>
          <w:rtl/>
        </w:rPr>
        <w:t>1-</w:t>
      </w:r>
      <w:r w:rsidRPr="002904AC">
        <w:rPr>
          <w:sz w:val="40"/>
          <w:szCs w:val="40"/>
          <w:rtl/>
        </w:rPr>
        <w:t xml:space="preserve"> فرض غرامة مالية.</w:t>
      </w:r>
    </w:p>
    <w:p w14:paraId="2DADB8D7" w14:textId="77621C9F" w:rsidR="002904AC" w:rsidRPr="002904AC" w:rsidRDefault="002904AC" w:rsidP="002904AC">
      <w:pPr>
        <w:rPr>
          <w:sz w:val="40"/>
          <w:szCs w:val="40"/>
          <w:rtl/>
        </w:rPr>
      </w:pPr>
      <w:r>
        <w:rPr>
          <w:rFonts w:hint="cs"/>
          <w:sz w:val="40"/>
          <w:szCs w:val="40"/>
          <w:rtl/>
        </w:rPr>
        <w:lastRenderedPageBreak/>
        <w:t>2</w:t>
      </w:r>
      <w:r w:rsidRPr="002904AC">
        <w:rPr>
          <w:sz w:val="40"/>
          <w:szCs w:val="40"/>
          <w:rtl/>
        </w:rPr>
        <w:t xml:space="preserve"> - تعليق أو إلغاء أو تقييد ترخيص أو اعتماد الشخص المخالف إذا كان مرخصاً له أو معتمداً</w:t>
      </w:r>
      <w:r>
        <w:rPr>
          <w:rFonts w:hint="cs"/>
          <w:sz w:val="40"/>
          <w:szCs w:val="40"/>
          <w:rtl/>
        </w:rPr>
        <w:t xml:space="preserve"> حسب </w:t>
      </w:r>
      <w:r w:rsidRPr="002904AC">
        <w:rPr>
          <w:sz w:val="40"/>
          <w:szCs w:val="40"/>
          <w:rtl/>
        </w:rPr>
        <w:t>مقتضى الحال.</w:t>
      </w:r>
    </w:p>
    <w:p w14:paraId="403A368A" w14:textId="77777777" w:rsidR="009744FE" w:rsidRPr="002904AC" w:rsidRDefault="009744FE">
      <w:pPr>
        <w:rPr>
          <w:sz w:val="40"/>
          <w:szCs w:val="40"/>
        </w:rPr>
      </w:pPr>
    </w:p>
    <w:sectPr w:rsidR="009744FE" w:rsidRPr="002904AC"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AC"/>
    <w:rsid w:val="001C2426"/>
    <w:rsid w:val="002904AC"/>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17D8"/>
  <w15:chartTrackingRefBased/>
  <w15:docId w15:val="{75565F6B-A152-45A9-BA15-3BD662FF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859159">
      <w:bodyDiv w:val="1"/>
      <w:marLeft w:val="0"/>
      <w:marRight w:val="0"/>
      <w:marTop w:val="0"/>
      <w:marBottom w:val="0"/>
      <w:divBdr>
        <w:top w:val="none" w:sz="0" w:space="0" w:color="auto"/>
        <w:left w:val="none" w:sz="0" w:space="0" w:color="auto"/>
        <w:bottom w:val="none" w:sz="0" w:space="0" w:color="auto"/>
        <w:right w:val="none" w:sz="0" w:space="0" w:color="auto"/>
      </w:divBdr>
      <w:divsChild>
        <w:div w:id="1316646976">
          <w:marLeft w:val="0"/>
          <w:marRight w:val="0"/>
          <w:marTop w:val="0"/>
          <w:marBottom w:val="0"/>
          <w:divBdr>
            <w:top w:val="single" w:sz="2" w:space="0" w:color="auto"/>
            <w:left w:val="single" w:sz="2" w:space="0" w:color="auto"/>
            <w:bottom w:val="single" w:sz="2" w:space="0" w:color="auto"/>
            <w:right w:val="single" w:sz="2" w:space="0" w:color="auto"/>
          </w:divBdr>
        </w:div>
        <w:div w:id="1992250436">
          <w:marLeft w:val="0"/>
          <w:marRight w:val="0"/>
          <w:marTop w:val="0"/>
          <w:marBottom w:val="0"/>
          <w:divBdr>
            <w:top w:val="single" w:sz="2" w:space="0" w:color="auto"/>
            <w:left w:val="single" w:sz="2" w:space="0" w:color="auto"/>
            <w:bottom w:val="single" w:sz="2" w:space="0" w:color="auto"/>
            <w:right w:val="single" w:sz="2" w:space="0" w:color="auto"/>
          </w:divBdr>
        </w:div>
        <w:div w:id="1699622458">
          <w:marLeft w:val="0"/>
          <w:marRight w:val="0"/>
          <w:marTop w:val="0"/>
          <w:marBottom w:val="0"/>
          <w:divBdr>
            <w:top w:val="single" w:sz="2" w:space="0" w:color="auto"/>
            <w:left w:val="single" w:sz="2" w:space="0" w:color="auto"/>
            <w:bottom w:val="single" w:sz="2" w:space="0" w:color="auto"/>
            <w:right w:val="single" w:sz="2" w:space="0" w:color="auto"/>
          </w:divBdr>
        </w:div>
        <w:div w:id="1896237319">
          <w:marLeft w:val="0"/>
          <w:marRight w:val="0"/>
          <w:marTop w:val="0"/>
          <w:marBottom w:val="0"/>
          <w:divBdr>
            <w:top w:val="single" w:sz="2" w:space="0" w:color="auto"/>
            <w:left w:val="single" w:sz="2" w:space="0" w:color="auto"/>
            <w:bottom w:val="single" w:sz="2" w:space="0" w:color="auto"/>
            <w:right w:val="single" w:sz="2" w:space="0" w:color="auto"/>
          </w:divBdr>
        </w:div>
        <w:div w:id="683170691">
          <w:marLeft w:val="0"/>
          <w:marRight w:val="0"/>
          <w:marTop w:val="0"/>
          <w:marBottom w:val="0"/>
          <w:divBdr>
            <w:top w:val="single" w:sz="2" w:space="0" w:color="auto"/>
            <w:left w:val="single" w:sz="2" w:space="0" w:color="auto"/>
            <w:bottom w:val="single" w:sz="2" w:space="0" w:color="auto"/>
            <w:right w:val="single" w:sz="2" w:space="0" w:color="auto"/>
          </w:divBdr>
        </w:div>
        <w:div w:id="1338381692">
          <w:marLeft w:val="0"/>
          <w:marRight w:val="0"/>
          <w:marTop w:val="0"/>
          <w:marBottom w:val="0"/>
          <w:divBdr>
            <w:top w:val="single" w:sz="2" w:space="0" w:color="auto"/>
            <w:left w:val="single" w:sz="2" w:space="0" w:color="auto"/>
            <w:bottom w:val="single" w:sz="2" w:space="0" w:color="auto"/>
            <w:right w:val="single" w:sz="2" w:space="0" w:color="auto"/>
          </w:divBdr>
        </w:div>
        <w:div w:id="1374963545">
          <w:marLeft w:val="0"/>
          <w:marRight w:val="0"/>
          <w:marTop w:val="0"/>
          <w:marBottom w:val="0"/>
          <w:divBdr>
            <w:top w:val="single" w:sz="2" w:space="0" w:color="auto"/>
            <w:left w:val="single" w:sz="2" w:space="0" w:color="auto"/>
            <w:bottom w:val="single" w:sz="2" w:space="0" w:color="auto"/>
            <w:right w:val="single" w:sz="2" w:space="0" w:color="auto"/>
          </w:divBdr>
        </w:div>
        <w:div w:id="1026373796">
          <w:marLeft w:val="0"/>
          <w:marRight w:val="0"/>
          <w:marTop w:val="0"/>
          <w:marBottom w:val="0"/>
          <w:divBdr>
            <w:top w:val="single" w:sz="2" w:space="0" w:color="auto"/>
            <w:left w:val="single" w:sz="2" w:space="0" w:color="auto"/>
            <w:bottom w:val="single" w:sz="2" w:space="0" w:color="auto"/>
            <w:right w:val="single" w:sz="2" w:space="0" w:color="auto"/>
          </w:divBdr>
        </w:div>
        <w:div w:id="140462262">
          <w:marLeft w:val="0"/>
          <w:marRight w:val="0"/>
          <w:marTop w:val="0"/>
          <w:marBottom w:val="0"/>
          <w:divBdr>
            <w:top w:val="single" w:sz="2" w:space="0" w:color="auto"/>
            <w:left w:val="single" w:sz="2" w:space="0" w:color="auto"/>
            <w:bottom w:val="single" w:sz="2" w:space="0" w:color="auto"/>
            <w:right w:val="single" w:sz="2" w:space="0" w:color="auto"/>
          </w:divBdr>
        </w:div>
        <w:div w:id="415975561">
          <w:marLeft w:val="0"/>
          <w:marRight w:val="0"/>
          <w:marTop w:val="0"/>
          <w:marBottom w:val="0"/>
          <w:divBdr>
            <w:top w:val="single" w:sz="2" w:space="0" w:color="auto"/>
            <w:left w:val="single" w:sz="2" w:space="0" w:color="auto"/>
            <w:bottom w:val="single" w:sz="2" w:space="0" w:color="auto"/>
            <w:right w:val="single" w:sz="2" w:space="0" w:color="auto"/>
          </w:divBdr>
        </w:div>
      </w:divsChild>
    </w:div>
    <w:div w:id="2113470530">
      <w:bodyDiv w:val="1"/>
      <w:marLeft w:val="0"/>
      <w:marRight w:val="0"/>
      <w:marTop w:val="0"/>
      <w:marBottom w:val="0"/>
      <w:divBdr>
        <w:top w:val="none" w:sz="0" w:space="0" w:color="auto"/>
        <w:left w:val="none" w:sz="0" w:space="0" w:color="auto"/>
        <w:bottom w:val="none" w:sz="0" w:space="0" w:color="auto"/>
        <w:right w:val="none" w:sz="0" w:space="0" w:color="auto"/>
      </w:divBdr>
      <w:divsChild>
        <w:div w:id="1262375679">
          <w:marLeft w:val="0"/>
          <w:marRight w:val="0"/>
          <w:marTop w:val="0"/>
          <w:marBottom w:val="0"/>
          <w:divBdr>
            <w:top w:val="single" w:sz="2" w:space="0" w:color="auto"/>
            <w:left w:val="single" w:sz="2" w:space="0" w:color="auto"/>
            <w:bottom w:val="single" w:sz="2" w:space="0" w:color="auto"/>
            <w:right w:val="single" w:sz="2" w:space="0" w:color="auto"/>
          </w:divBdr>
        </w:div>
        <w:div w:id="394402411">
          <w:marLeft w:val="0"/>
          <w:marRight w:val="0"/>
          <w:marTop w:val="0"/>
          <w:marBottom w:val="0"/>
          <w:divBdr>
            <w:top w:val="single" w:sz="2" w:space="0" w:color="auto"/>
            <w:left w:val="single" w:sz="2" w:space="0" w:color="auto"/>
            <w:bottom w:val="single" w:sz="2" w:space="0" w:color="auto"/>
            <w:right w:val="single" w:sz="2" w:space="0" w:color="auto"/>
          </w:divBdr>
        </w:div>
        <w:div w:id="497696184">
          <w:marLeft w:val="0"/>
          <w:marRight w:val="0"/>
          <w:marTop w:val="0"/>
          <w:marBottom w:val="0"/>
          <w:divBdr>
            <w:top w:val="single" w:sz="2" w:space="0" w:color="auto"/>
            <w:left w:val="single" w:sz="2" w:space="0" w:color="auto"/>
            <w:bottom w:val="single" w:sz="2" w:space="0" w:color="auto"/>
            <w:right w:val="single" w:sz="2" w:space="0" w:color="auto"/>
          </w:divBdr>
        </w:div>
        <w:div w:id="1219362900">
          <w:marLeft w:val="0"/>
          <w:marRight w:val="0"/>
          <w:marTop w:val="0"/>
          <w:marBottom w:val="0"/>
          <w:divBdr>
            <w:top w:val="single" w:sz="2" w:space="0" w:color="auto"/>
            <w:left w:val="single" w:sz="2" w:space="0" w:color="auto"/>
            <w:bottom w:val="single" w:sz="2" w:space="0" w:color="auto"/>
            <w:right w:val="single" w:sz="2" w:space="0" w:color="auto"/>
          </w:divBdr>
        </w:div>
        <w:div w:id="665672633">
          <w:marLeft w:val="0"/>
          <w:marRight w:val="0"/>
          <w:marTop w:val="0"/>
          <w:marBottom w:val="0"/>
          <w:divBdr>
            <w:top w:val="single" w:sz="2" w:space="0" w:color="auto"/>
            <w:left w:val="single" w:sz="2" w:space="0" w:color="auto"/>
            <w:bottom w:val="single" w:sz="2" w:space="0" w:color="auto"/>
            <w:right w:val="single" w:sz="2" w:space="0" w:color="auto"/>
          </w:divBdr>
        </w:div>
        <w:div w:id="1582374544">
          <w:marLeft w:val="0"/>
          <w:marRight w:val="0"/>
          <w:marTop w:val="0"/>
          <w:marBottom w:val="0"/>
          <w:divBdr>
            <w:top w:val="single" w:sz="2" w:space="0" w:color="auto"/>
            <w:left w:val="single" w:sz="2" w:space="0" w:color="auto"/>
            <w:bottom w:val="single" w:sz="2" w:space="0" w:color="auto"/>
            <w:right w:val="single" w:sz="2" w:space="0" w:color="auto"/>
          </w:divBdr>
        </w:div>
        <w:div w:id="363946227">
          <w:marLeft w:val="0"/>
          <w:marRight w:val="0"/>
          <w:marTop w:val="0"/>
          <w:marBottom w:val="0"/>
          <w:divBdr>
            <w:top w:val="single" w:sz="2" w:space="0" w:color="auto"/>
            <w:left w:val="single" w:sz="2" w:space="0" w:color="auto"/>
            <w:bottom w:val="single" w:sz="2" w:space="0" w:color="auto"/>
            <w:right w:val="single" w:sz="2" w:space="0" w:color="auto"/>
          </w:divBdr>
        </w:div>
        <w:div w:id="2103869260">
          <w:marLeft w:val="0"/>
          <w:marRight w:val="0"/>
          <w:marTop w:val="0"/>
          <w:marBottom w:val="0"/>
          <w:divBdr>
            <w:top w:val="single" w:sz="2" w:space="0" w:color="auto"/>
            <w:left w:val="single" w:sz="2" w:space="0" w:color="auto"/>
            <w:bottom w:val="single" w:sz="2" w:space="0" w:color="auto"/>
            <w:right w:val="single" w:sz="2" w:space="0" w:color="auto"/>
          </w:divBdr>
        </w:div>
        <w:div w:id="114165397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2024-10-03T09:54:00Z</dcterms:created>
  <dcterms:modified xsi:type="dcterms:W3CDTF">2024-10-03T10:03:00Z</dcterms:modified>
</cp:coreProperties>
</file>